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D0A" w:rsidRPr="00126D0A" w:rsidRDefault="00AC71AB" w:rsidP="008317B2">
      <w:pPr>
        <w:numPr>
          <w:ilvl w:val="0"/>
          <w:numId w:val="1"/>
        </w:numPr>
        <w:tabs>
          <w:tab w:val="clear" w:pos="720"/>
          <w:tab w:val="num" w:pos="426"/>
        </w:tabs>
        <w:spacing w:before="240"/>
        <w:ind w:left="426" w:hanging="426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="00126D0A" w:rsidRPr="00126D0A">
        <w:rPr>
          <w:rFonts w:ascii="Arial" w:hAnsi="Arial" w:cs="Arial"/>
          <w:bCs/>
          <w:spacing w:val="-3"/>
          <w:sz w:val="22"/>
          <w:szCs w:val="22"/>
        </w:rPr>
        <w:t>Local Government Electoral (Transparency and Accountability in Local Government) and Other Legislation Amendment Bill 2016</w:t>
      </w:r>
      <w:r w:rsidR="00126D0A">
        <w:rPr>
          <w:rFonts w:ascii="Arial" w:hAnsi="Arial" w:cs="Arial"/>
          <w:bCs/>
          <w:spacing w:val="-3"/>
          <w:sz w:val="22"/>
          <w:szCs w:val="22"/>
        </w:rPr>
        <w:t xml:space="preserve"> proposes amendments to the </w:t>
      </w:r>
      <w:r w:rsidR="00126D0A" w:rsidRPr="00126D0A">
        <w:rPr>
          <w:rFonts w:ascii="Arial" w:hAnsi="Arial" w:cs="Arial"/>
          <w:bCs/>
          <w:i/>
          <w:spacing w:val="-3"/>
          <w:sz w:val="22"/>
          <w:szCs w:val="22"/>
        </w:rPr>
        <w:t>Associations Incorporation Act 1981</w:t>
      </w:r>
      <w:r w:rsidR="00126D0A">
        <w:rPr>
          <w:rFonts w:ascii="Arial" w:hAnsi="Arial" w:cs="Arial"/>
          <w:bCs/>
          <w:spacing w:val="-3"/>
          <w:sz w:val="22"/>
          <w:szCs w:val="22"/>
        </w:rPr>
        <w:t xml:space="preserve"> (AI Act), the </w:t>
      </w:r>
      <w:r w:rsidR="00126D0A" w:rsidRPr="00126D0A">
        <w:rPr>
          <w:rFonts w:ascii="Arial" w:hAnsi="Arial" w:cs="Arial"/>
          <w:bCs/>
          <w:i/>
          <w:spacing w:val="-3"/>
          <w:sz w:val="22"/>
          <w:szCs w:val="22"/>
        </w:rPr>
        <w:t>Building Act 1975</w:t>
      </w:r>
      <w:r w:rsidR="00126D0A">
        <w:rPr>
          <w:rFonts w:ascii="Arial" w:hAnsi="Arial" w:cs="Arial"/>
          <w:bCs/>
          <w:i/>
          <w:spacing w:val="-3"/>
          <w:sz w:val="22"/>
          <w:szCs w:val="22"/>
        </w:rPr>
        <w:t xml:space="preserve"> </w:t>
      </w:r>
      <w:r w:rsidR="00126D0A">
        <w:rPr>
          <w:rFonts w:ascii="Arial" w:hAnsi="Arial" w:cs="Arial"/>
          <w:bCs/>
          <w:spacing w:val="-3"/>
          <w:sz w:val="22"/>
          <w:szCs w:val="22"/>
        </w:rPr>
        <w:t>(B</w:t>
      </w:r>
      <w:r w:rsidR="00B91017">
        <w:rPr>
          <w:rFonts w:ascii="Arial" w:hAnsi="Arial" w:cs="Arial"/>
          <w:bCs/>
          <w:spacing w:val="-3"/>
          <w:sz w:val="22"/>
          <w:szCs w:val="22"/>
        </w:rPr>
        <w:t xml:space="preserve">uilding </w:t>
      </w:r>
      <w:r w:rsidR="00126D0A">
        <w:rPr>
          <w:rFonts w:ascii="Arial" w:hAnsi="Arial" w:cs="Arial"/>
          <w:bCs/>
          <w:spacing w:val="-3"/>
          <w:sz w:val="22"/>
          <w:szCs w:val="22"/>
        </w:rPr>
        <w:t>A</w:t>
      </w:r>
      <w:r w:rsidR="00B91017">
        <w:rPr>
          <w:rFonts w:ascii="Arial" w:hAnsi="Arial" w:cs="Arial"/>
          <w:bCs/>
          <w:spacing w:val="-3"/>
          <w:sz w:val="22"/>
          <w:szCs w:val="22"/>
        </w:rPr>
        <w:t>ct</w:t>
      </w:r>
      <w:r w:rsidR="00126D0A">
        <w:rPr>
          <w:rFonts w:ascii="Arial" w:hAnsi="Arial" w:cs="Arial"/>
          <w:bCs/>
          <w:spacing w:val="-3"/>
          <w:sz w:val="22"/>
          <w:szCs w:val="22"/>
        </w:rPr>
        <w:t xml:space="preserve">), the </w:t>
      </w:r>
      <w:r w:rsidR="00126D0A" w:rsidRPr="00126D0A">
        <w:rPr>
          <w:rFonts w:ascii="Arial" w:hAnsi="Arial" w:cs="Arial"/>
          <w:bCs/>
          <w:i/>
          <w:spacing w:val="-3"/>
          <w:sz w:val="22"/>
          <w:szCs w:val="22"/>
        </w:rPr>
        <w:t>Local Government Electoral Act 2011</w:t>
      </w:r>
      <w:r w:rsidR="00126D0A">
        <w:rPr>
          <w:rFonts w:ascii="Arial" w:hAnsi="Arial" w:cs="Arial"/>
          <w:bCs/>
          <w:spacing w:val="-3"/>
          <w:sz w:val="22"/>
          <w:szCs w:val="22"/>
        </w:rPr>
        <w:t xml:space="preserve"> (LGEA), the </w:t>
      </w:r>
      <w:r w:rsidR="00126D0A" w:rsidRPr="00126D0A">
        <w:rPr>
          <w:rFonts w:ascii="Arial" w:hAnsi="Arial" w:cs="Arial"/>
          <w:bCs/>
          <w:i/>
          <w:spacing w:val="-3"/>
          <w:sz w:val="22"/>
          <w:szCs w:val="22"/>
        </w:rPr>
        <w:t>Planning Act 2016</w:t>
      </w:r>
      <w:r w:rsidR="00126D0A">
        <w:rPr>
          <w:rFonts w:ascii="Arial" w:hAnsi="Arial" w:cs="Arial"/>
          <w:bCs/>
          <w:i/>
          <w:spacing w:val="-3"/>
          <w:sz w:val="22"/>
          <w:szCs w:val="22"/>
        </w:rPr>
        <w:t xml:space="preserve"> </w:t>
      </w:r>
      <w:r w:rsidR="00126D0A" w:rsidRPr="00126D0A">
        <w:rPr>
          <w:rFonts w:ascii="Arial" w:hAnsi="Arial" w:cs="Arial"/>
          <w:bCs/>
          <w:spacing w:val="-3"/>
          <w:sz w:val="22"/>
          <w:szCs w:val="22"/>
        </w:rPr>
        <w:t>(P</w:t>
      </w:r>
      <w:r w:rsidR="00126D0A">
        <w:rPr>
          <w:rFonts w:ascii="Arial" w:hAnsi="Arial" w:cs="Arial"/>
          <w:bCs/>
          <w:spacing w:val="-3"/>
          <w:sz w:val="22"/>
          <w:szCs w:val="22"/>
        </w:rPr>
        <w:t xml:space="preserve">lanning </w:t>
      </w:r>
      <w:r w:rsidR="00126D0A" w:rsidRPr="00126D0A">
        <w:rPr>
          <w:rFonts w:ascii="Arial" w:hAnsi="Arial" w:cs="Arial"/>
          <w:bCs/>
          <w:spacing w:val="-3"/>
          <w:sz w:val="22"/>
          <w:szCs w:val="22"/>
        </w:rPr>
        <w:t>A</w:t>
      </w:r>
      <w:r w:rsidR="00126D0A">
        <w:rPr>
          <w:rFonts w:ascii="Arial" w:hAnsi="Arial" w:cs="Arial"/>
          <w:bCs/>
          <w:spacing w:val="-3"/>
          <w:sz w:val="22"/>
          <w:szCs w:val="22"/>
        </w:rPr>
        <w:t xml:space="preserve">ct), the </w:t>
      </w:r>
      <w:r w:rsidR="00126D0A" w:rsidRPr="00126D0A">
        <w:rPr>
          <w:rFonts w:ascii="Arial" w:hAnsi="Arial" w:cs="Arial"/>
          <w:bCs/>
          <w:i/>
          <w:spacing w:val="-3"/>
          <w:sz w:val="22"/>
          <w:szCs w:val="22"/>
        </w:rPr>
        <w:t>Planning and Environment Court Act 2016</w:t>
      </w:r>
      <w:r w:rsidR="00B91017" w:rsidRPr="00B91017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B91017">
        <w:rPr>
          <w:rFonts w:ascii="Arial" w:hAnsi="Arial" w:cs="Arial"/>
          <w:bCs/>
          <w:spacing w:val="-3"/>
          <w:sz w:val="22"/>
          <w:szCs w:val="22"/>
        </w:rPr>
        <w:t>(</w:t>
      </w:r>
      <w:r w:rsidR="00B91017" w:rsidRPr="00126D0A">
        <w:rPr>
          <w:rFonts w:ascii="Arial" w:hAnsi="Arial" w:cs="Arial"/>
          <w:bCs/>
          <w:spacing w:val="-3"/>
          <w:sz w:val="22"/>
          <w:szCs w:val="22"/>
        </w:rPr>
        <w:t>PECA</w:t>
      </w:r>
      <w:r w:rsidR="00B91017">
        <w:rPr>
          <w:rFonts w:ascii="Arial" w:hAnsi="Arial" w:cs="Arial"/>
          <w:bCs/>
          <w:spacing w:val="-3"/>
          <w:sz w:val="22"/>
          <w:szCs w:val="22"/>
        </w:rPr>
        <w:t>)</w:t>
      </w:r>
      <w:r w:rsidR="00126D0A">
        <w:rPr>
          <w:rFonts w:ascii="Arial" w:hAnsi="Arial" w:cs="Arial"/>
          <w:bCs/>
          <w:spacing w:val="-3"/>
          <w:sz w:val="22"/>
          <w:szCs w:val="22"/>
        </w:rPr>
        <w:t xml:space="preserve">, the </w:t>
      </w:r>
      <w:r w:rsidR="00126D0A" w:rsidRPr="00126D0A">
        <w:rPr>
          <w:rFonts w:ascii="Arial" w:hAnsi="Arial" w:cs="Arial"/>
          <w:bCs/>
          <w:i/>
          <w:spacing w:val="-3"/>
          <w:sz w:val="22"/>
          <w:szCs w:val="22"/>
        </w:rPr>
        <w:t>Planning (Consequential) and Other Legislation Amendment Act 2016</w:t>
      </w:r>
      <w:r w:rsidR="00126D0A">
        <w:rPr>
          <w:rFonts w:ascii="Arial" w:hAnsi="Arial" w:cs="Arial"/>
          <w:bCs/>
          <w:spacing w:val="-3"/>
          <w:sz w:val="22"/>
          <w:szCs w:val="22"/>
        </w:rPr>
        <w:t xml:space="preserve"> and the </w:t>
      </w:r>
      <w:r w:rsidR="00126D0A" w:rsidRPr="00126D0A">
        <w:rPr>
          <w:rFonts w:ascii="Arial" w:hAnsi="Arial" w:cs="Arial"/>
          <w:bCs/>
          <w:i/>
          <w:spacing w:val="-3"/>
          <w:sz w:val="22"/>
          <w:szCs w:val="22"/>
        </w:rPr>
        <w:t>Sustainable Planning Act 2009</w:t>
      </w:r>
      <w:r w:rsidR="00B91017">
        <w:rPr>
          <w:rFonts w:ascii="Arial" w:hAnsi="Arial" w:cs="Arial"/>
          <w:bCs/>
          <w:spacing w:val="-3"/>
          <w:sz w:val="22"/>
          <w:szCs w:val="22"/>
        </w:rPr>
        <w:t xml:space="preserve"> (SPA).</w:t>
      </w:r>
    </w:p>
    <w:p w:rsidR="00AC71AB" w:rsidRDefault="00AC71AB" w:rsidP="008317B2">
      <w:pPr>
        <w:numPr>
          <w:ilvl w:val="0"/>
          <w:numId w:val="1"/>
        </w:numPr>
        <w:tabs>
          <w:tab w:val="clear" w:pos="720"/>
          <w:tab w:val="num" w:pos="426"/>
        </w:tabs>
        <w:spacing w:before="240"/>
        <w:ind w:left="426" w:hanging="426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AC71AB">
        <w:rPr>
          <w:rFonts w:ascii="Arial" w:hAnsi="Arial" w:cs="Arial"/>
          <w:bCs/>
          <w:spacing w:val="-3"/>
          <w:sz w:val="22"/>
          <w:szCs w:val="22"/>
        </w:rPr>
        <w:t>T</w:t>
      </w:r>
      <w:r w:rsidR="007C6493" w:rsidRPr="00AC71AB">
        <w:rPr>
          <w:rFonts w:ascii="Arial" w:hAnsi="Arial" w:cs="Arial"/>
          <w:bCs/>
          <w:spacing w:val="-3"/>
          <w:sz w:val="22"/>
          <w:szCs w:val="22"/>
        </w:rPr>
        <w:t>he Crime and Corruption Commission</w:t>
      </w:r>
      <w:r w:rsidRPr="00AC71AB">
        <w:rPr>
          <w:rFonts w:ascii="Arial" w:hAnsi="Arial" w:cs="Arial"/>
          <w:bCs/>
          <w:spacing w:val="-3"/>
          <w:sz w:val="22"/>
          <w:szCs w:val="22"/>
        </w:rPr>
        <w:t xml:space="preserve">’s </w:t>
      </w:r>
      <w:r w:rsidR="008317B2">
        <w:rPr>
          <w:rFonts w:ascii="Arial" w:hAnsi="Arial" w:cs="Arial"/>
          <w:bCs/>
          <w:spacing w:val="-3"/>
          <w:sz w:val="22"/>
          <w:szCs w:val="22"/>
        </w:rPr>
        <w:t xml:space="preserve">(CCC) </w:t>
      </w:r>
      <w:r w:rsidRPr="00AC71AB">
        <w:rPr>
          <w:rFonts w:ascii="Arial" w:hAnsi="Arial" w:cs="Arial"/>
          <w:bCs/>
          <w:spacing w:val="-3"/>
          <w:sz w:val="22"/>
          <w:szCs w:val="22"/>
        </w:rPr>
        <w:t xml:space="preserve">Report of 11 December 2015 </w:t>
      </w:r>
      <w:r w:rsidR="007C6493" w:rsidRPr="00AC71AB">
        <w:rPr>
          <w:rFonts w:ascii="Arial" w:hAnsi="Arial" w:cs="Arial"/>
          <w:bCs/>
          <w:spacing w:val="-3"/>
          <w:sz w:val="22"/>
          <w:szCs w:val="22"/>
        </w:rPr>
        <w:t>‘Transparency and accountability in local government’</w:t>
      </w:r>
      <w:r w:rsidRPr="00AC71AB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7C6493" w:rsidRPr="00AC71AB">
        <w:rPr>
          <w:rFonts w:ascii="Arial" w:hAnsi="Arial" w:cs="Arial"/>
          <w:bCs/>
          <w:spacing w:val="-3"/>
          <w:sz w:val="22"/>
          <w:szCs w:val="22"/>
        </w:rPr>
        <w:t xml:space="preserve">concluded that governance around local government electoral donations was confusing and did not clearly outline how campaign funds and donations should be treated. </w:t>
      </w:r>
    </w:p>
    <w:p w:rsidR="007C6493" w:rsidRDefault="00AE6CD2" w:rsidP="008317B2">
      <w:pPr>
        <w:numPr>
          <w:ilvl w:val="0"/>
          <w:numId w:val="1"/>
        </w:numPr>
        <w:tabs>
          <w:tab w:val="clear" w:pos="720"/>
          <w:tab w:val="num" w:pos="426"/>
        </w:tabs>
        <w:spacing w:before="240"/>
        <w:ind w:left="426" w:hanging="426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AC71AB">
        <w:rPr>
          <w:rFonts w:ascii="Arial" w:hAnsi="Arial" w:cs="Arial"/>
          <w:bCs/>
          <w:spacing w:val="-3"/>
          <w:sz w:val="22"/>
          <w:szCs w:val="22"/>
        </w:rPr>
        <w:t>The Bill directly address</w:t>
      </w:r>
      <w:r w:rsidR="00E81793">
        <w:rPr>
          <w:rFonts w:ascii="Arial" w:hAnsi="Arial" w:cs="Arial"/>
          <w:bCs/>
          <w:spacing w:val="-3"/>
          <w:sz w:val="22"/>
          <w:szCs w:val="22"/>
        </w:rPr>
        <w:t>es</w:t>
      </w:r>
      <w:r w:rsidRPr="00AC71AB">
        <w:rPr>
          <w:rFonts w:ascii="Arial" w:hAnsi="Arial" w:cs="Arial"/>
          <w:bCs/>
          <w:spacing w:val="-3"/>
          <w:sz w:val="22"/>
          <w:szCs w:val="22"/>
        </w:rPr>
        <w:t xml:space="preserve"> the CCC’s recommendations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and </w:t>
      </w:r>
      <w:r w:rsidR="00AC71AB" w:rsidRPr="00AC71AB">
        <w:rPr>
          <w:rFonts w:ascii="Arial" w:hAnsi="Arial" w:cs="Arial"/>
          <w:bCs/>
          <w:spacing w:val="-3"/>
          <w:sz w:val="22"/>
          <w:szCs w:val="22"/>
        </w:rPr>
        <w:t xml:space="preserve">builds on the Government’s </w:t>
      </w:r>
      <w:r w:rsidR="00AC71AB">
        <w:rPr>
          <w:rFonts w:ascii="Arial" w:hAnsi="Arial" w:cs="Arial"/>
          <w:bCs/>
          <w:spacing w:val="-3"/>
          <w:sz w:val="22"/>
          <w:szCs w:val="22"/>
        </w:rPr>
        <w:t xml:space="preserve">donation reporting </w:t>
      </w:r>
      <w:r w:rsidR="00AC71AB" w:rsidRPr="00AC71AB">
        <w:rPr>
          <w:rFonts w:ascii="Arial" w:hAnsi="Arial" w:cs="Arial"/>
          <w:bCs/>
          <w:spacing w:val="-3"/>
          <w:sz w:val="22"/>
          <w:szCs w:val="22"/>
        </w:rPr>
        <w:t>reforms by</w:t>
      </w:r>
      <w:r w:rsidR="00AC71AB">
        <w:rPr>
          <w:rFonts w:ascii="Arial" w:hAnsi="Arial" w:cs="Arial"/>
          <w:bCs/>
          <w:spacing w:val="-3"/>
          <w:sz w:val="22"/>
          <w:szCs w:val="22"/>
        </w:rPr>
        <w:t xml:space="preserve"> amending</w:t>
      </w:r>
      <w:r w:rsidR="007C6493">
        <w:rPr>
          <w:rFonts w:ascii="Arial" w:hAnsi="Arial" w:cs="Arial"/>
          <w:bCs/>
          <w:spacing w:val="-3"/>
          <w:sz w:val="22"/>
          <w:szCs w:val="22"/>
        </w:rPr>
        <w:t>:</w:t>
      </w:r>
    </w:p>
    <w:p w:rsidR="007C6493" w:rsidRDefault="007C6493" w:rsidP="008317B2">
      <w:pPr>
        <w:numPr>
          <w:ilvl w:val="0"/>
          <w:numId w:val="7"/>
        </w:numPr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7C6493">
        <w:rPr>
          <w:rFonts w:ascii="Arial" w:hAnsi="Arial" w:cs="Arial"/>
          <w:bCs/>
          <w:spacing w:val="-3"/>
          <w:sz w:val="22"/>
          <w:szCs w:val="22"/>
        </w:rPr>
        <w:t>the AI Act to clarify that incorporated associations cannot be used to receive or hold electoral campaign funds which benefit a member of the association, either directly or indirectly</w:t>
      </w:r>
    </w:p>
    <w:p w:rsidR="00AC71AB" w:rsidRDefault="007C6493" w:rsidP="008317B2">
      <w:pPr>
        <w:numPr>
          <w:ilvl w:val="0"/>
          <w:numId w:val="7"/>
        </w:numPr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7C6493">
        <w:rPr>
          <w:rFonts w:ascii="Arial" w:hAnsi="Arial" w:cs="Arial"/>
          <w:bCs/>
          <w:spacing w:val="-3"/>
          <w:sz w:val="22"/>
          <w:szCs w:val="22"/>
        </w:rPr>
        <w:t>the LGEA to:</w:t>
      </w:r>
    </w:p>
    <w:p w:rsidR="007C6493" w:rsidRDefault="007C6493" w:rsidP="002154F0">
      <w:pPr>
        <w:numPr>
          <w:ilvl w:val="1"/>
          <w:numId w:val="1"/>
        </w:numPr>
        <w:tabs>
          <w:tab w:val="clear" w:pos="1443"/>
          <w:tab w:val="num" w:pos="1134"/>
        </w:tabs>
        <w:ind w:left="1134" w:hanging="283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AC71AB">
        <w:rPr>
          <w:rFonts w:ascii="Arial" w:hAnsi="Arial" w:cs="Arial"/>
          <w:bCs/>
          <w:spacing w:val="-3"/>
          <w:sz w:val="22"/>
          <w:szCs w:val="22"/>
        </w:rPr>
        <w:t>ensure consistency between the disclosure requirements of candidates and councillors</w:t>
      </w:r>
    </w:p>
    <w:p w:rsidR="00AC71AB" w:rsidRDefault="007C6493" w:rsidP="002154F0">
      <w:pPr>
        <w:numPr>
          <w:ilvl w:val="1"/>
          <w:numId w:val="1"/>
        </w:numPr>
        <w:tabs>
          <w:tab w:val="clear" w:pos="1443"/>
          <w:tab w:val="num" w:pos="1134"/>
        </w:tabs>
        <w:ind w:left="1134" w:hanging="283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AC71AB">
        <w:rPr>
          <w:rFonts w:ascii="Arial" w:hAnsi="Arial" w:cs="Arial"/>
          <w:bCs/>
          <w:spacing w:val="-3"/>
          <w:sz w:val="22"/>
          <w:szCs w:val="22"/>
        </w:rPr>
        <w:t>facilitate real-time online electoral donation disclosures for local government elections, consistent with state election requirements</w:t>
      </w:r>
    </w:p>
    <w:p w:rsidR="00AC71AB" w:rsidRDefault="007C6493" w:rsidP="002154F0">
      <w:pPr>
        <w:numPr>
          <w:ilvl w:val="1"/>
          <w:numId w:val="1"/>
        </w:numPr>
        <w:tabs>
          <w:tab w:val="clear" w:pos="1443"/>
          <w:tab w:val="num" w:pos="1134"/>
        </w:tabs>
        <w:ind w:left="1134" w:hanging="283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AC71AB">
        <w:rPr>
          <w:rFonts w:ascii="Arial" w:hAnsi="Arial" w:cs="Arial"/>
          <w:bCs/>
          <w:spacing w:val="-3"/>
          <w:sz w:val="22"/>
          <w:szCs w:val="22"/>
        </w:rPr>
        <w:t>require candidates and groups of candidates to account for unspent donations</w:t>
      </w:r>
      <w:r w:rsidR="002154F0"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AE6CD2" w:rsidRPr="00AE6CD2" w:rsidRDefault="00AB04B3" w:rsidP="00DE6755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Bill also </w:t>
      </w:r>
      <w:r w:rsidRPr="00AB04B3">
        <w:rPr>
          <w:rFonts w:ascii="Arial" w:hAnsi="Arial" w:cs="Arial"/>
          <w:bCs/>
          <w:spacing w:val="-3"/>
          <w:sz w:val="22"/>
          <w:szCs w:val="22"/>
        </w:rPr>
        <w:t>amends</w:t>
      </w:r>
      <w:r>
        <w:rPr>
          <w:rFonts w:ascii="Arial" w:hAnsi="Arial" w:cs="Arial"/>
          <w:sz w:val="22"/>
          <w:szCs w:val="22"/>
        </w:rPr>
        <w:t xml:space="preserve"> the LGEA </w:t>
      </w:r>
      <w:r w:rsidR="00AE6CD2" w:rsidRPr="00AE6CD2">
        <w:rPr>
          <w:rFonts w:ascii="Arial" w:hAnsi="Arial" w:cs="Arial"/>
          <w:sz w:val="22"/>
          <w:szCs w:val="22"/>
        </w:rPr>
        <w:t xml:space="preserve">to clarify that indirect as well as direct costs incurred by </w:t>
      </w:r>
      <w:r w:rsidR="001650EB">
        <w:rPr>
          <w:rFonts w:ascii="Arial" w:hAnsi="Arial" w:cs="Arial"/>
          <w:sz w:val="22"/>
          <w:szCs w:val="22"/>
        </w:rPr>
        <w:t>Electoral Commission Queensland</w:t>
      </w:r>
      <w:r w:rsidR="001650EB" w:rsidRPr="00AE6CD2">
        <w:rPr>
          <w:rFonts w:ascii="Arial" w:hAnsi="Arial" w:cs="Arial"/>
          <w:sz w:val="22"/>
          <w:szCs w:val="22"/>
        </w:rPr>
        <w:t xml:space="preserve"> </w:t>
      </w:r>
      <w:r w:rsidR="00AE6CD2" w:rsidRPr="00AE6CD2">
        <w:rPr>
          <w:rFonts w:ascii="Arial" w:hAnsi="Arial" w:cs="Arial"/>
          <w:sz w:val="22"/>
          <w:szCs w:val="22"/>
        </w:rPr>
        <w:t>for conducting a local government election are rec</w:t>
      </w:r>
      <w:r w:rsidR="00AE6CD2">
        <w:rPr>
          <w:rFonts w:ascii="Arial" w:hAnsi="Arial" w:cs="Arial"/>
          <w:sz w:val="22"/>
          <w:szCs w:val="22"/>
        </w:rPr>
        <w:t>overable from local governments</w:t>
      </w:r>
      <w:r w:rsidR="00AE6CD2" w:rsidRPr="00AE6CD2">
        <w:rPr>
          <w:rFonts w:ascii="Arial" w:hAnsi="Arial" w:cs="Arial"/>
          <w:sz w:val="22"/>
          <w:szCs w:val="22"/>
        </w:rPr>
        <w:t>.</w:t>
      </w:r>
    </w:p>
    <w:p w:rsidR="00F212A9" w:rsidRPr="00F212A9" w:rsidRDefault="00F212A9" w:rsidP="00DE6755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</w:t>
      </w:r>
      <w:r w:rsidRPr="00F212A9">
        <w:rPr>
          <w:rFonts w:ascii="Arial" w:hAnsi="Arial" w:cs="Arial"/>
          <w:sz w:val="22"/>
          <w:szCs w:val="22"/>
        </w:rPr>
        <w:t xml:space="preserve"> Bill includes </w:t>
      </w:r>
      <w:r w:rsidRPr="00DE6755">
        <w:rPr>
          <w:rFonts w:ascii="Arial" w:hAnsi="Arial" w:cs="Arial"/>
          <w:bCs/>
          <w:spacing w:val="-3"/>
          <w:sz w:val="22"/>
          <w:szCs w:val="22"/>
        </w:rPr>
        <w:t>amendments</w:t>
      </w:r>
      <w:r w:rsidRPr="00F212A9">
        <w:rPr>
          <w:rFonts w:ascii="Arial" w:hAnsi="Arial" w:cs="Arial"/>
          <w:sz w:val="22"/>
          <w:szCs w:val="22"/>
        </w:rPr>
        <w:t xml:space="preserve"> to the SPA to “bring forward” the following reforms in the </w:t>
      </w:r>
      <w:r>
        <w:rPr>
          <w:rFonts w:ascii="Arial" w:hAnsi="Arial" w:cs="Arial"/>
          <w:sz w:val="22"/>
          <w:szCs w:val="22"/>
        </w:rPr>
        <w:t xml:space="preserve">recently enacted </w:t>
      </w:r>
      <w:r w:rsidRPr="00F212A9">
        <w:rPr>
          <w:rFonts w:ascii="Arial" w:hAnsi="Arial" w:cs="Arial"/>
          <w:sz w:val="22"/>
          <w:szCs w:val="22"/>
        </w:rPr>
        <w:t>planning legislation:</w:t>
      </w:r>
    </w:p>
    <w:p w:rsidR="00F212A9" w:rsidRPr="00DE6755" w:rsidRDefault="00F212A9" w:rsidP="008317B2">
      <w:pPr>
        <w:numPr>
          <w:ilvl w:val="0"/>
          <w:numId w:val="8"/>
        </w:numPr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DE6755">
        <w:rPr>
          <w:rFonts w:ascii="Arial" w:hAnsi="Arial" w:cs="Arial"/>
          <w:bCs/>
          <w:spacing w:val="-3"/>
          <w:sz w:val="22"/>
          <w:szCs w:val="22"/>
        </w:rPr>
        <w:t>arrangements under the Planning Act for limited retrospective commencement of temporary local planning instruments, subject to Ministerial approval;</w:t>
      </w:r>
    </w:p>
    <w:p w:rsidR="00F212A9" w:rsidRPr="00DE6755" w:rsidRDefault="00F212A9" w:rsidP="008317B2">
      <w:pPr>
        <w:numPr>
          <w:ilvl w:val="0"/>
          <w:numId w:val="8"/>
        </w:numPr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DE6755">
        <w:rPr>
          <w:rFonts w:ascii="Arial" w:hAnsi="Arial" w:cs="Arial"/>
          <w:bCs/>
          <w:spacing w:val="-3"/>
          <w:sz w:val="22"/>
          <w:szCs w:val="22"/>
        </w:rPr>
        <w:t>reformed costs arrangements under the PECA; and</w:t>
      </w:r>
    </w:p>
    <w:p w:rsidR="00F212A9" w:rsidRPr="00DE6755" w:rsidRDefault="00F212A9" w:rsidP="008317B2">
      <w:pPr>
        <w:numPr>
          <w:ilvl w:val="0"/>
          <w:numId w:val="8"/>
        </w:numPr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DE6755">
        <w:rPr>
          <w:rFonts w:ascii="Arial" w:hAnsi="Arial" w:cs="Arial"/>
          <w:bCs/>
          <w:spacing w:val="-3"/>
          <w:sz w:val="22"/>
          <w:szCs w:val="22"/>
        </w:rPr>
        <w:t>increased penalties for development offences from 1665 penalty units to 4500 penalty units.</w:t>
      </w:r>
    </w:p>
    <w:p w:rsidR="00F212A9" w:rsidRPr="00F212A9" w:rsidRDefault="00F212A9" w:rsidP="00DE6755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</w:rPr>
        <w:t>The Bill also includes provisions for</w:t>
      </w:r>
      <w:r w:rsidRPr="00F212A9">
        <w:rPr>
          <w:rFonts w:ascii="Arial" w:hAnsi="Arial" w:cs="Arial"/>
          <w:sz w:val="22"/>
          <w:szCs w:val="22"/>
        </w:rPr>
        <w:t xml:space="preserve"> resolution of legislative issues with </w:t>
      </w:r>
      <w:r w:rsidR="001650EB">
        <w:rPr>
          <w:rFonts w:ascii="Arial" w:hAnsi="Arial" w:cs="Arial"/>
          <w:sz w:val="22"/>
          <w:szCs w:val="22"/>
        </w:rPr>
        <w:t xml:space="preserve">the </w:t>
      </w:r>
      <w:r w:rsidRPr="00F212A9">
        <w:rPr>
          <w:rFonts w:ascii="Arial" w:hAnsi="Arial" w:cs="Arial"/>
          <w:sz w:val="22"/>
          <w:szCs w:val="22"/>
        </w:rPr>
        <w:t>SPA</w:t>
      </w:r>
      <w:r w:rsidR="00121937">
        <w:rPr>
          <w:rFonts w:ascii="Arial" w:hAnsi="Arial" w:cs="Arial"/>
          <w:sz w:val="22"/>
          <w:szCs w:val="22"/>
        </w:rPr>
        <w:t xml:space="preserve"> Act</w:t>
      </w:r>
      <w:r w:rsidRPr="00F212A9">
        <w:rPr>
          <w:rFonts w:ascii="Arial" w:hAnsi="Arial" w:cs="Arial"/>
          <w:sz w:val="22"/>
          <w:szCs w:val="22"/>
        </w:rPr>
        <w:t xml:space="preserve">, the Planning Act and the </w:t>
      </w:r>
      <w:r>
        <w:rPr>
          <w:rFonts w:ascii="Arial" w:hAnsi="Arial" w:cs="Arial"/>
          <w:sz w:val="22"/>
          <w:szCs w:val="22"/>
        </w:rPr>
        <w:t>Building Act</w:t>
      </w:r>
      <w:r w:rsidRPr="00F212A9">
        <w:rPr>
          <w:rFonts w:ascii="Arial" w:hAnsi="Arial" w:cs="Arial"/>
          <w:sz w:val="22"/>
          <w:szCs w:val="22"/>
        </w:rPr>
        <w:t xml:space="preserve"> arising from recent decisions of the Planning and Environment Court and Court of Appeal, concerning assessment of building work by local governments and private certifiers</w:t>
      </w:r>
      <w:r w:rsidRPr="00F212A9">
        <w:rPr>
          <w:rFonts w:ascii="Arial" w:hAnsi="Arial" w:cs="Arial"/>
          <w:sz w:val="22"/>
          <w:szCs w:val="22"/>
          <w:lang w:val="en-GB"/>
        </w:rPr>
        <w:t>.</w:t>
      </w:r>
    </w:p>
    <w:p w:rsidR="008E2BA2" w:rsidRPr="00AE6CD2" w:rsidRDefault="008E2BA2" w:rsidP="008E2BA2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AE6CD2">
        <w:rPr>
          <w:rFonts w:ascii="Arial" w:hAnsi="Arial" w:cs="Arial"/>
          <w:sz w:val="22"/>
          <w:szCs w:val="22"/>
          <w:u w:val="single"/>
        </w:rPr>
        <w:t xml:space="preserve">Cabinet </w:t>
      </w:r>
      <w:r w:rsidR="008317B2">
        <w:rPr>
          <w:rFonts w:ascii="Arial" w:hAnsi="Arial" w:cs="Arial"/>
          <w:sz w:val="22"/>
          <w:szCs w:val="22"/>
          <w:u w:val="single"/>
        </w:rPr>
        <w:t>endorsed</w:t>
      </w:r>
      <w:r w:rsidR="008317B2" w:rsidRPr="00AE6CD2">
        <w:rPr>
          <w:rFonts w:ascii="Arial" w:hAnsi="Arial" w:cs="Arial"/>
          <w:sz w:val="22"/>
          <w:szCs w:val="22"/>
        </w:rPr>
        <w:t xml:space="preserve"> </w:t>
      </w:r>
      <w:r w:rsidRPr="00AE6CD2">
        <w:rPr>
          <w:rFonts w:ascii="Arial" w:hAnsi="Arial" w:cs="Arial"/>
          <w:sz w:val="22"/>
          <w:szCs w:val="22"/>
        </w:rPr>
        <w:t xml:space="preserve">the introduction of the </w:t>
      </w:r>
      <w:r w:rsidR="00AE6CD2" w:rsidRPr="00126D0A">
        <w:rPr>
          <w:rFonts w:ascii="Arial" w:hAnsi="Arial" w:cs="Arial"/>
          <w:bCs/>
          <w:spacing w:val="-3"/>
          <w:sz w:val="22"/>
          <w:szCs w:val="22"/>
        </w:rPr>
        <w:t>Local Government Electoral (Transparency and Accountability in Local Government) and Other Legislation Amendment Bill 2016</w:t>
      </w:r>
      <w:r w:rsidRPr="00AE6CD2">
        <w:rPr>
          <w:rFonts w:ascii="Arial" w:hAnsi="Arial" w:cs="Arial"/>
          <w:sz w:val="22"/>
          <w:szCs w:val="22"/>
        </w:rPr>
        <w:t xml:space="preserve"> into the Legislative Assembly.</w:t>
      </w:r>
    </w:p>
    <w:p w:rsidR="008E2BA2" w:rsidRPr="00C07656" w:rsidRDefault="008E2BA2" w:rsidP="00121937">
      <w:pPr>
        <w:keepNext/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57" w:hanging="357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AE6CD2" w:rsidRDefault="00D44AB0" w:rsidP="001650EB">
      <w:pPr>
        <w:numPr>
          <w:ilvl w:val="0"/>
          <w:numId w:val="8"/>
        </w:numPr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hyperlink r:id="rId11" w:history="1">
        <w:r w:rsidR="00AE6CD2" w:rsidRPr="00112257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>Local Government Electoral (Transparency and Accountability in Local Government) and Other Legislation Amendment Bill 2016</w:t>
        </w:r>
      </w:hyperlink>
      <w:r w:rsidR="00AE6CD2">
        <w:rPr>
          <w:rFonts w:ascii="Arial" w:hAnsi="Arial" w:cs="Arial"/>
          <w:bCs/>
          <w:spacing w:val="-3"/>
          <w:sz w:val="22"/>
          <w:szCs w:val="22"/>
        </w:rPr>
        <w:t xml:space="preserve"> </w:t>
      </w:r>
    </w:p>
    <w:p w:rsidR="00C7377A" w:rsidRPr="002154F0" w:rsidRDefault="00D44AB0" w:rsidP="001650EB">
      <w:pPr>
        <w:numPr>
          <w:ilvl w:val="0"/>
          <w:numId w:val="8"/>
        </w:numPr>
        <w:tabs>
          <w:tab w:val="num" w:pos="360"/>
        </w:tabs>
        <w:spacing w:before="120"/>
        <w:jc w:val="both"/>
        <w:rPr>
          <w:rFonts w:ascii="Arial" w:hAnsi="Arial" w:cs="Arial"/>
          <w:sz w:val="22"/>
          <w:szCs w:val="22"/>
        </w:rPr>
      </w:pPr>
      <w:hyperlink r:id="rId12" w:history="1">
        <w:r w:rsidR="008E2BA2" w:rsidRPr="00112257">
          <w:rPr>
            <w:rStyle w:val="Hyperlink"/>
            <w:rFonts w:ascii="Arial" w:hAnsi="Arial" w:cs="Arial"/>
            <w:sz w:val="22"/>
            <w:szCs w:val="22"/>
          </w:rPr>
          <w:t>Explanatory Notes</w:t>
        </w:r>
      </w:hyperlink>
    </w:p>
    <w:sectPr w:rsidR="00C7377A" w:rsidRPr="002154F0" w:rsidSect="00121937">
      <w:headerReference w:type="default" r:id="rId13"/>
      <w:pgSz w:w="11906" w:h="16838"/>
      <w:pgMar w:top="1134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31BB" w:rsidRDefault="001131BB" w:rsidP="00D6589B">
      <w:r>
        <w:separator/>
      </w:r>
    </w:p>
  </w:endnote>
  <w:endnote w:type="continuationSeparator" w:id="0">
    <w:p w:rsidR="001131BB" w:rsidRDefault="001131BB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31BB" w:rsidRDefault="001131BB" w:rsidP="00D6589B">
      <w:r>
        <w:separator/>
      </w:r>
    </w:p>
  </w:footnote>
  <w:footnote w:type="continuationSeparator" w:id="0">
    <w:p w:rsidR="001131BB" w:rsidRDefault="001131BB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C7377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C7377A" w:rsidRPr="00C7377A">
      <w:rPr>
        <w:rFonts w:ascii="Arial" w:hAnsi="Arial" w:cs="Arial"/>
        <w:b/>
        <w:color w:val="auto"/>
        <w:sz w:val="22"/>
        <w:szCs w:val="22"/>
        <w:lang w:eastAsia="en-US"/>
      </w:rPr>
      <w:t>November 2016</w:t>
    </w:r>
  </w:p>
  <w:p w:rsidR="00C7377A" w:rsidRPr="00C7377A" w:rsidRDefault="00C7377A" w:rsidP="00C7377A">
    <w:pPr>
      <w:spacing w:before="240"/>
      <w:jc w:val="both"/>
      <w:rPr>
        <w:rFonts w:ascii="Arial" w:hAnsi="Arial" w:cs="Arial"/>
        <w:b/>
        <w:sz w:val="22"/>
        <w:szCs w:val="22"/>
        <w:u w:val="single"/>
      </w:rPr>
    </w:pPr>
    <w:r w:rsidRPr="00C7377A">
      <w:rPr>
        <w:rFonts w:ascii="Arial" w:hAnsi="Arial" w:cs="Arial"/>
        <w:b/>
        <w:sz w:val="22"/>
        <w:szCs w:val="22"/>
        <w:u w:val="single"/>
      </w:rPr>
      <w:t>Local Government Electoral (Transparency and Accountability in Local Government) and Other Legislation Amendment Bill 2016</w:t>
    </w:r>
  </w:p>
  <w:p w:rsidR="00CB1501" w:rsidRDefault="00500A70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Deputy Premier, Minister for Infrastructure, Local Government and Planning and Minister for Trade and Investment</w:t>
    </w:r>
  </w:p>
  <w:p w:rsidR="00CB1501" w:rsidRDefault="00CB1501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832341"/>
    <w:multiLevelType w:val="hybridMultilevel"/>
    <w:tmpl w:val="5F0E2D8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BC570A"/>
    <w:multiLevelType w:val="hybridMultilevel"/>
    <w:tmpl w:val="DDB6157A"/>
    <w:lvl w:ilvl="0" w:tplc="0C090001">
      <w:start w:val="1"/>
      <w:numFmt w:val="bullet"/>
      <w:lvlText w:val=""/>
      <w:lvlJc w:val="left"/>
      <w:pPr>
        <w:tabs>
          <w:tab w:val="num" w:pos="1437"/>
        </w:tabs>
        <w:ind w:left="1437" w:hanging="357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2" w15:restartNumberingAfterBreak="0">
    <w:nsid w:val="666D3F30"/>
    <w:multiLevelType w:val="hybridMultilevel"/>
    <w:tmpl w:val="AB22E0E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CC74EB7"/>
    <w:multiLevelType w:val="hybridMultilevel"/>
    <w:tmpl w:val="4080C6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3E8D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4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A3160D"/>
    <w:multiLevelType w:val="hybridMultilevel"/>
    <w:tmpl w:val="57B8ACE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8005F68"/>
    <w:multiLevelType w:val="hybridMultilevel"/>
    <w:tmpl w:val="C7B875C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F176F87"/>
    <w:multiLevelType w:val="hybridMultilevel"/>
    <w:tmpl w:val="0CF8C414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6A4"/>
    <w:rsid w:val="00055D08"/>
    <w:rsid w:val="00080F8F"/>
    <w:rsid w:val="000B6A68"/>
    <w:rsid w:val="0010384C"/>
    <w:rsid w:val="00112257"/>
    <w:rsid w:val="001131BB"/>
    <w:rsid w:val="00121937"/>
    <w:rsid w:val="00126D0A"/>
    <w:rsid w:val="00152095"/>
    <w:rsid w:val="001650EB"/>
    <w:rsid w:val="00174117"/>
    <w:rsid w:val="001C221C"/>
    <w:rsid w:val="002154F0"/>
    <w:rsid w:val="002278C2"/>
    <w:rsid w:val="00230067"/>
    <w:rsid w:val="003A0674"/>
    <w:rsid w:val="003A3BDD"/>
    <w:rsid w:val="003F7CD1"/>
    <w:rsid w:val="0043543B"/>
    <w:rsid w:val="00484463"/>
    <w:rsid w:val="004866A4"/>
    <w:rsid w:val="004E0483"/>
    <w:rsid w:val="00500A70"/>
    <w:rsid w:val="00501C66"/>
    <w:rsid w:val="00550873"/>
    <w:rsid w:val="005902A9"/>
    <w:rsid w:val="005A1864"/>
    <w:rsid w:val="00614B01"/>
    <w:rsid w:val="006E49B6"/>
    <w:rsid w:val="007265D0"/>
    <w:rsid w:val="00732E22"/>
    <w:rsid w:val="00733085"/>
    <w:rsid w:val="00741C20"/>
    <w:rsid w:val="007775AA"/>
    <w:rsid w:val="007C6493"/>
    <w:rsid w:val="007D3CE2"/>
    <w:rsid w:val="007F44F4"/>
    <w:rsid w:val="008317B2"/>
    <w:rsid w:val="008E2BA2"/>
    <w:rsid w:val="008E6C30"/>
    <w:rsid w:val="00904077"/>
    <w:rsid w:val="009350E2"/>
    <w:rsid w:val="00937A4A"/>
    <w:rsid w:val="009E3E4A"/>
    <w:rsid w:val="00A17F41"/>
    <w:rsid w:val="00AB04B3"/>
    <w:rsid w:val="00AC71AB"/>
    <w:rsid w:val="00AE6CD2"/>
    <w:rsid w:val="00B46250"/>
    <w:rsid w:val="00B91017"/>
    <w:rsid w:val="00B95A06"/>
    <w:rsid w:val="00BA3B59"/>
    <w:rsid w:val="00C7377A"/>
    <w:rsid w:val="00C75E67"/>
    <w:rsid w:val="00C8288C"/>
    <w:rsid w:val="00CB1501"/>
    <w:rsid w:val="00CC3C40"/>
    <w:rsid w:val="00CD7A50"/>
    <w:rsid w:val="00CF0D8A"/>
    <w:rsid w:val="00D44AB0"/>
    <w:rsid w:val="00D6589B"/>
    <w:rsid w:val="00DE342D"/>
    <w:rsid w:val="00DE6755"/>
    <w:rsid w:val="00E81793"/>
    <w:rsid w:val="00F212A9"/>
    <w:rsid w:val="00F24A8A"/>
    <w:rsid w:val="00F41945"/>
    <w:rsid w:val="00F45B99"/>
    <w:rsid w:val="00F94D48"/>
    <w:rsid w:val="00FE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paragraph" w:styleId="ListParagraph">
    <w:name w:val="List Paragraph"/>
    <w:aliases w:val="Bullet,List Paragraph1,List Paragraph11,Recommendation,Bullet point,Bullets,NAST Quote,L,CV text,Table text,F5 List Paragraph,Dot pt,List Paragraph111,Medium Grid 1 - Accent 21,Numbered Paragraph,List Paragraph2,NFP GP Bulleted List,列"/>
    <w:basedOn w:val="Normal"/>
    <w:link w:val="ListParagraphChar"/>
    <w:uiPriority w:val="34"/>
    <w:qFormat/>
    <w:rsid w:val="00C7377A"/>
    <w:pPr>
      <w:ind w:left="720"/>
      <w:contextualSpacing/>
    </w:pPr>
  </w:style>
  <w:style w:type="character" w:customStyle="1" w:styleId="ListParagraphChar">
    <w:name w:val="List Paragraph Char"/>
    <w:aliases w:val="Bullet Char,List Paragraph1 Char,List Paragraph11 Char,Recommendation Char,Bullet point Char,Bullets Char,NAST Quote Char,L Char,CV text Char,Table text Char,F5 List Paragraph Char,Dot pt Char,List Paragraph111 Char,列 Char"/>
    <w:link w:val="ListParagraph"/>
    <w:uiPriority w:val="34"/>
    <w:locked/>
    <w:rsid w:val="007C6493"/>
    <w:rPr>
      <w:rFonts w:ascii="Times New Roman" w:eastAsia="Times New Roman" w:hAnsi="Times New Roman"/>
      <w:color w:val="000000"/>
      <w:sz w:val="24"/>
    </w:rPr>
  </w:style>
  <w:style w:type="character" w:styleId="Hyperlink">
    <w:name w:val="Hyperlink"/>
    <w:uiPriority w:val="99"/>
    <w:unhideWhenUsed/>
    <w:rsid w:val="0011225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Attachments/ExNotes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Attachments/Bill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A2DE67D7649D44BCBFB1FAB7B40999" ma:contentTypeVersion="5" ma:contentTypeDescription="Create a new document." ma:contentTypeScope="" ma:versionID="0473884a8c90e0c9405ed35bf2963b3e">
  <xsd:schema xmlns:xsd="http://www.w3.org/2001/XMLSchema" xmlns:xs="http://www.w3.org/2001/XMLSchema" xmlns:p="http://schemas.microsoft.com/office/2006/metadata/properties" xmlns:ns2="39303455-0690-4fc8-a6f1-b969d4549fb5" xmlns:ns3="0303becd-d999-4b18-bd4d-d2e9f8940f02" targetNamespace="http://schemas.microsoft.com/office/2006/metadata/properties" ma:root="true" ma:fieldsID="a7b15683be1dfa43ecbcf83b6ecb4635" ns2:_="" ns3:_="">
    <xsd:import namespace="39303455-0690-4fc8-a6f1-b969d4549fb5"/>
    <xsd:import namespace="0303becd-d999-4b18-bd4d-d2e9f8940f0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ingHintHash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303455-0690-4fc8-a6f1-b969d4549f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03becd-d999-4b18-bd4d-d2e9f8940f02" elementFormDefault="qualified">
    <xsd:import namespace="http://schemas.microsoft.com/office/2006/documentManagement/types"/>
    <xsd:import namespace="http://schemas.microsoft.com/office/infopath/2007/PartnerControls"/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F1B1D-A6D3-4A47-8094-220E4BC079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17DA77-8086-41A2-9220-0C93E96EE0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303455-0690-4fc8-a6f1-b969d4549fb5"/>
    <ds:schemaRef ds:uri="0303becd-d999-4b18-bd4d-d2e9f8940f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18D19E-A591-4550-BADA-A2434E309AF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10DDF6F-5684-4474-AF87-48C3BE225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379</Words>
  <Characters>2326</Characters>
  <Application>Microsoft Office Word</Application>
  <DocSecurity>0</DocSecurity>
  <Lines>39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2699</CharactersWithSpaces>
  <SharedDoc>false</SharedDoc>
  <HyperlinkBase>https://www.cabinet.qld.gov.au/documents/2016/Nov/LGEBill/</HyperlinkBase>
  <HLinks>
    <vt:vector size="12" baseType="variant">
      <vt:variant>
        <vt:i4>8061050</vt:i4>
      </vt:variant>
      <vt:variant>
        <vt:i4>3</vt:i4>
      </vt:variant>
      <vt:variant>
        <vt:i4>0</vt:i4>
      </vt:variant>
      <vt:variant>
        <vt:i4>5</vt:i4>
      </vt:variant>
      <vt:variant>
        <vt:lpwstr>Attachments/ExNotes.PDF</vt:lpwstr>
      </vt:variant>
      <vt:variant>
        <vt:lpwstr/>
      </vt:variant>
      <vt:variant>
        <vt:i4>5242946</vt:i4>
      </vt:variant>
      <vt:variant>
        <vt:i4>0</vt:i4>
      </vt:variant>
      <vt:variant>
        <vt:i4>0</vt:i4>
      </vt:variant>
      <vt:variant>
        <vt:i4>5</vt:i4>
      </vt:variant>
      <vt:variant>
        <vt:lpwstr>Attachments/Bill.PDF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2017-01-17T06:48:00Z</cp:lastPrinted>
  <dcterms:created xsi:type="dcterms:W3CDTF">2017-10-25T01:51:00Z</dcterms:created>
  <dcterms:modified xsi:type="dcterms:W3CDTF">2018-03-06T01:39:00Z</dcterms:modified>
  <cp:category>Local_Government,Electoral,Crime_and_Corruption_Commission,Planning,Legislation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0x010100ECA2DE67D7649D44BCBFB1FAB7B40999</vt:lpwstr>
  </property>
  <property fmtid="{D5CDD505-2E9C-101B-9397-08002B2CF9AE}" pid="3" name="Document Type">
    <vt:lpwstr>Cabinet Submission</vt:lpwstr>
  </property>
</Properties>
</file>